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3064285f2423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13748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HODOŠAN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1.273.173,25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1.335.637,85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1.173.383,71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1.299.459,97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99.789,54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36.177,88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108.410,66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124.145,84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108.410,66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124.145,84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8.621,12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87.967,96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1020,4</w:t>
            </w:r>
          </w:p>
        </w:tc>
      </w:tr>
    </w:tbl>
    <w:p>
      <w:pPr>
        <w:spacing w:before="0" w:after="0"/>
      </w:pPr>
    </w:p>
    <w:p>
      <w:r>
        <w:t xml:space="preserve">Za prikazani manjak, razlog je metodološki, a odnosi se na plaće za prosinac 2025. koje dospijevaju i isplaćuju se u siječnju 2026, godine.</w:t>
      </w:r>
    </w:p>
    <w:p>
      <w:r>
        <w:t xml:space="preserve">Manjak prihoda nefinancijske imovine nastao je temeljem nastalih rashoda za nabavu proizvedene dugotrajne imovine koji su dobiveni kao kapitalna sredstva i to:</w:t>
      </w:r>
    </w:p>
    <w:p>
      <w:r>
        <w:t xml:space="preserve">konto 6362 :  kapitalna sredstva za nabavu udžbenika u iznosu 2642,32 eura, kapitalna sredstva primljena od općine a u svrhu financiranja asfaltiranja i uređenja rukometnog igrališta u iznosu 18.000,00 eura</w:t>
      </w:r>
    </w:p>
    <w:p>
      <w:r>
        <w:t xml:space="preserve">konto 6712 : kapitalna sredstva županije za financiranje adaptacije sanitarnog čvora i svlačionica školske sportske dvorane, adaptacije prostora bivšeg vrtića u sklopu škole, te tehničko opremanje- video nadzor i ostalo u ukupnom iznosu 92.599,65 eura</w:t>
      </w:r>
    </w:p>
    <w:p>
      <w:r>
        <w:t xml:space="preserve">Za preostali manjak u iznosu od 10903,87 eura razlog je nabava opreme iz vlastitih prihoda redovnog poslovanja.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nemamo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84968efc548fb" /></Relationships>
</file>