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9e9aea63e473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13748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HODOŠAN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297.195,40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319.809,58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381.100,92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317.493,19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2.316,39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1.210,16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2.972,99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85.115,68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656,60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0,8</w:t>
            </w:r>
          </w:p>
        </w:tc>
      </w:tr>
    </w:tbl>
    <w:p>
      <w:pPr>
        <w:spacing w:before="0" w:after="0"/>
      </w:pPr>
    </w:p>
    <w:p>
      <w:r>
        <w:t xml:space="preserve">Ukupni manjak prihoda i primitaka nastao je iz sljedećih razloga:</w:t>
      </w:r>
    </w:p>
    <w:p>
      <w:pPr>
        <w:pStyle w:val="ListParagraph"/>
        <w:numPr>
          <w:ilvl w:val="0"/>
          <w:numId w:val="2"/>
        </w:numPr>
      </w:pPr>
      <w:r>
        <w:t xml:space="preserve">troškove produženog boravka nacionalnih manjina (Romi i Ukrajinci) financira Državni proračun, u ovoj godini nije bilo doznake tj. prihoda već samo knjiženi rashodi</w:t>
      </w:r>
    </w:p>
    <w:p>
      <w:pPr>
        <w:pStyle w:val="ListParagraph"/>
        <w:numPr>
          <w:ilvl w:val="0"/>
          <w:numId w:val="2"/>
        </w:numPr>
      </w:pPr>
      <w:r>
        <w:t xml:space="preserve">prihodi za prehranu učenika doznačeni su za siječanj i veljaču a rashodi su knjiženi za tri mjeseca (siječanj-ožujak)</w:t>
      </w:r>
    </w:p>
    <w:p>
      <w:pPr>
        <w:pStyle w:val="ListParagraph"/>
        <w:numPr>
          <w:ilvl w:val="0"/>
          <w:numId w:val="2"/>
        </w:numPr>
      </w:pPr>
      <w:r>
        <w:t xml:space="preserve">kod rashoda za plaće došlo je do metodološkog manjka jer su plaće knjižene s 31.03. a prihodi će biti raspoloživi u 04. mjesecu.</w:t>
      </w:r>
    </w:p>
    <w:p>
      <w:r>
        <w:t xml:space="preserve">Manjak prihoda od nefinancijske imovine rezultat je načina knjiženja gdje se rashodi (klasa 4) pokrivaju prihodima (klasa 6)</w:t>
      </w:r>
    </w:p>
    <w:p>
      <w:r>
        <w:br/>
      </w:r>
    </w:p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bd3cc149684d5e" /><Relationship Type="http://schemas.openxmlformats.org/officeDocument/2006/relationships/numbering" Target="/word/numbering.xml" Id="R43aa0ab396424d57" /></Relationships>
</file>